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3032" w14:textId="77777777" w:rsidR="00F94BB3" w:rsidRDefault="00F94BB3">
      <w:pPr>
        <w:jc w:val="center"/>
        <w:rPr>
          <w:rFonts w:asciiTheme="majorHAnsi" w:hAnsiTheme="majorHAnsi" w:cstheme="majorHAnsi"/>
          <w:b/>
          <w:sz w:val="28"/>
          <w:szCs w:val="28"/>
        </w:rPr>
      </w:pPr>
    </w:p>
    <w:p w14:paraId="4AD97DC8" w14:textId="0656D041" w:rsidR="00F94BB3" w:rsidRDefault="00F94BB3">
      <w:pPr>
        <w:jc w:val="center"/>
        <w:rPr>
          <w:rFonts w:asciiTheme="majorHAnsi" w:hAnsiTheme="majorHAnsi" w:cstheme="majorHAnsi"/>
          <w:b/>
          <w:sz w:val="28"/>
          <w:szCs w:val="28"/>
        </w:rPr>
      </w:pPr>
      <w:r>
        <w:rPr>
          <w:rFonts w:ascii="Calibri" w:hAnsi="Calibri" w:cs="Calibri"/>
          <w:noProof/>
          <w:color w:val="000000"/>
        </w:rPr>
        <w:drawing>
          <wp:inline distT="0" distB="0" distL="0" distR="0" wp14:anchorId="0DD49255" wp14:editId="16C7B426">
            <wp:extent cx="1691640" cy="2400300"/>
            <wp:effectExtent l="0" t="0" r="3810" b="0"/>
            <wp:docPr id="40009603" name="Picture 1" descr="Ammanford Town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02405" descr="Ammanford Town Council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91640" cy="2400300"/>
                    </a:xfrm>
                    <a:prstGeom prst="rect">
                      <a:avLst/>
                    </a:prstGeom>
                    <a:noFill/>
                    <a:ln>
                      <a:noFill/>
                    </a:ln>
                  </pic:spPr>
                </pic:pic>
              </a:graphicData>
            </a:graphic>
          </wp:inline>
        </w:drawing>
      </w:r>
    </w:p>
    <w:p w14:paraId="6C25DCFB" w14:textId="77777777" w:rsidR="00F94BB3" w:rsidRDefault="00F94BB3">
      <w:pPr>
        <w:jc w:val="center"/>
        <w:rPr>
          <w:rFonts w:asciiTheme="majorHAnsi" w:hAnsiTheme="majorHAnsi" w:cstheme="majorHAnsi"/>
          <w:b/>
          <w:sz w:val="28"/>
          <w:szCs w:val="28"/>
        </w:rPr>
      </w:pPr>
    </w:p>
    <w:p w14:paraId="7F7CBD85" w14:textId="77777777" w:rsidR="00F94BB3" w:rsidRDefault="00F94BB3">
      <w:pPr>
        <w:jc w:val="center"/>
        <w:rPr>
          <w:rFonts w:asciiTheme="majorHAnsi" w:hAnsiTheme="majorHAnsi" w:cstheme="majorHAnsi"/>
          <w:b/>
          <w:sz w:val="28"/>
          <w:szCs w:val="28"/>
        </w:rPr>
      </w:pPr>
    </w:p>
    <w:p w14:paraId="0DAAF211" w14:textId="77777777" w:rsidR="00F94BB3" w:rsidRDefault="00F94BB3">
      <w:pPr>
        <w:jc w:val="center"/>
        <w:rPr>
          <w:rFonts w:asciiTheme="majorHAnsi" w:hAnsiTheme="majorHAnsi" w:cstheme="majorHAnsi"/>
          <w:b/>
          <w:sz w:val="28"/>
          <w:szCs w:val="28"/>
        </w:rPr>
      </w:pPr>
    </w:p>
    <w:p w14:paraId="343E970F" w14:textId="77777777" w:rsidR="00F94BB3" w:rsidRDefault="00F94BB3">
      <w:pPr>
        <w:jc w:val="center"/>
        <w:rPr>
          <w:rFonts w:asciiTheme="majorHAnsi" w:hAnsiTheme="majorHAnsi" w:cstheme="majorHAnsi"/>
          <w:b/>
          <w:sz w:val="28"/>
          <w:szCs w:val="28"/>
        </w:rPr>
      </w:pPr>
    </w:p>
    <w:p w14:paraId="316AE090" w14:textId="72153FD4" w:rsidR="00340673" w:rsidRPr="00F94BB3" w:rsidRDefault="00941EAB">
      <w:pPr>
        <w:jc w:val="center"/>
        <w:rPr>
          <w:rFonts w:asciiTheme="majorHAnsi" w:hAnsiTheme="majorHAnsi" w:cstheme="majorHAnsi"/>
          <w:sz w:val="28"/>
          <w:szCs w:val="28"/>
        </w:rPr>
      </w:pPr>
      <w:r w:rsidRPr="00F94BB3">
        <w:rPr>
          <w:rFonts w:asciiTheme="majorHAnsi" w:hAnsiTheme="majorHAnsi" w:cstheme="majorHAnsi"/>
          <w:b/>
          <w:sz w:val="28"/>
          <w:szCs w:val="28"/>
        </w:rPr>
        <w:t>AMMANFORD TOWN COUNCIL</w:t>
      </w:r>
      <w:r w:rsidRPr="00F94BB3">
        <w:rPr>
          <w:rFonts w:asciiTheme="majorHAnsi" w:hAnsiTheme="majorHAnsi" w:cstheme="majorHAnsi"/>
          <w:b/>
          <w:sz w:val="28"/>
          <w:szCs w:val="28"/>
        </w:rPr>
        <w:br/>
        <w:t>COMMUNITY ENGAGEMENT POLICY &amp; STRATEGY 2026–2027</w:t>
      </w:r>
    </w:p>
    <w:p w14:paraId="6C35B6D9" w14:textId="77777777" w:rsidR="00340673" w:rsidRPr="00F94BB3" w:rsidRDefault="00340673">
      <w:pPr>
        <w:rPr>
          <w:rFonts w:asciiTheme="majorHAnsi" w:hAnsiTheme="majorHAnsi" w:cstheme="majorHAnsi"/>
          <w:sz w:val="28"/>
          <w:szCs w:val="28"/>
        </w:rPr>
      </w:pPr>
    </w:p>
    <w:p w14:paraId="3431581E" w14:textId="77777777" w:rsidR="00F94BB3" w:rsidRDefault="00F94BB3">
      <w:pPr>
        <w:rPr>
          <w:rFonts w:asciiTheme="majorHAnsi" w:eastAsiaTheme="majorEastAsia" w:hAnsiTheme="majorHAnsi" w:cstheme="majorHAnsi"/>
          <w:b/>
          <w:bCs/>
          <w:color w:val="365F91" w:themeColor="accent1" w:themeShade="BF"/>
          <w:sz w:val="28"/>
          <w:szCs w:val="28"/>
        </w:rPr>
      </w:pPr>
      <w:r>
        <w:rPr>
          <w:rFonts w:cstheme="majorHAnsi"/>
        </w:rPr>
        <w:br w:type="page"/>
      </w:r>
    </w:p>
    <w:p w14:paraId="63B4880F" w14:textId="7070D892" w:rsidR="00340673" w:rsidRPr="00F94BB3" w:rsidRDefault="00941EAB">
      <w:pPr>
        <w:pStyle w:val="Heading1"/>
        <w:rPr>
          <w:rFonts w:cstheme="majorHAnsi"/>
        </w:rPr>
      </w:pPr>
      <w:r w:rsidRPr="00F94BB3">
        <w:rPr>
          <w:rFonts w:cstheme="majorHAnsi"/>
        </w:rPr>
        <w:lastRenderedPageBreak/>
        <w:t>1. Purpose of the Policy</w:t>
      </w:r>
    </w:p>
    <w:p w14:paraId="1FD49093"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This policy sets out a comprehensive framework for how Ammanford Town Council will engage with its community in a meaningful, structured and effective way. Community engagement is central to good governance and democratic accountability. It ensures that residents, businesses and stakeholders are actively involved in shaping services, influencing decisions and contributing to the long-term development of the town.</w:t>
      </w:r>
      <w:r w:rsidRPr="00F94BB3">
        <w:rPr>
          <w:rFonts w:asciiTheme="majorHAnsi" w:hAnsiTheme="majorHAnsi" w:cstheme="majorHAnsi"/>
          <w:sz w:val="28"/>
          <w:szCs w:val="28"/>
        </w:rPr>
        <w:br/>
      </w:r>
      <w:r w:rsidRPr="00F94BB3">
        <w:rPr>
          <w:rFonts w:asciiTheme="majorHAnsi" w:hAnsiTheme="majorHAnsi" w:cstheme="majorHAnsi"/>
          <w:sz w:val="28"/>
          <w:szCs w:val="28"/>
        </w:rPr>
        <w:br/>
        <w:t>This policy directly supports the Council’s Wellbeing Plan 2026–2028 by ensuring that engagement is embedded within all activities and that community voice is reflected in priorities, projects and service delivery.</w:t>
      </w:r>
    </w:p>
    <w:p w14:paraId="38BB2B2C" w14:textId="77777777" w:rsidR="00340673" w:rsidRPr="00F94BB3" w:rsidRDefault="00941EAB">
      <w:pPr>
        <w:pStyle w:val="Heading1"/>
        <w:rPr>
          <w:rFonts w:cstheme="majorHAnsi"/>
        </w:rPr>
      </w:pPr>
      <w:r w:rsidRPr="00F94BB3">
        <w:rPr>
          <w:rFonts w:cstheme="majorHAnsi"/>
        </w:rPr>
        <w:t>2. Link to the Wellbeing Plan 2026–2028</w:t>
      </w:r>
    </w:p>
    <w:p w14:paraId="7F7413AB"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Community engagement is a key delivery mechanism of the Wellbeing Plan. Each of the Council’s strategic objectives is strengthened through effective engagement, ensuring that outcomes reflect real community need. Engagement enables the Council to gather insight, test proposals, and evaluate impact, ensuring continuous improvement and alignment with wellbeing outcomes.</w:t>
      </w:r>
      <w:r w:rsidRPr="00F94BB3">
        <w:rPr>
          <w:rFonts w:asciiTheme="majorHAnsi" w:hAnsiTheme="majorHAnsi" w:cstheme="majorHAnsi"/>
          <w:sz w:val="28"/>
          <w:szCs w:val="28"/>
        </w:rPr>
        <w:br/>
      </w:r>
      <w:r w:rsidRPr="00F94BB3">
        <w:rPr>
          <w:rFonts w:asciiTheme="majorHAnsi" w:hAnsiTheme="majorHAnsi" w:cstheme="majorHAnsi"/>
          <w:sz w:val="28"/>
          <w:szCs w:val="28"/>
        </w:rPr>
        <w:br/>
        <w:t>Through engagement, the Council supports improved health and wellbeing, stronger community cohesion, enhanced environmental outcomes and a more resilient local economy.</w:t>
      </w:r>
    </w:p>
    <w:p w14:paraId="23237B69" w14:textId="77777777" w:rsidR="00340673" w:rsidRPr="00F94BB3" w:rsidRDefault="00941EAB">
      <w:pPr>
        <w:pStyle w:val="Heading1"/>
        <w:rPr>
          <w:rFonts w:cstheme="majorHAnsi"/>
        </w:rPr>
      </w:pPr>
      <w:r w:rsidRPr="00F94BB3">
        <w:rPr>
          <w:rFonts w:cstheme="majorHAnsi"/>
        </w:rPr>
        <w:t>3. Community Engagement and PSB Objectives</w:t>
      </w:r>
    </w:p>
    <w:p w14:paraId="23424164"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Community engagement plays a critical role in delivering the Carmarthenshire Public Services Board (PSB) objectives. By actively engaging with residents and stakeholders, the Council contributes to:</w:t>
      </w:r>
      <w:r w:rsidRPr="00F94BB3">
        <w:rPr>
          <w:rFonts w:asciiTheme="majorHAnsi" w:hAnsiTheme="majorHAnsi" w:cstheme="majorHAnsi"/>
          <w:sz w:val="28"/>
          <w:szCs w:val="28"/>
        </w:rPr>
        <w:br/>
      </w:r>
      <w:r w:rsidRPr="00F94BB3">
        <w:rPr>
          <w:rFonts w:asciiTheme="majorHAnsi" w:hAnsiTheme="majorHAnsi" w:cstheme="majorHAnsi"/>
          <w:sz w:val="28"/>
          <w:szCs w:val="28"/>
        </w:rPr>
        <w:br/>
        <w:t>Healthy Habits – encouraging participation in physical activity, wellbeing initiatives and community events.</w:t>
      </w:r>
      <w:r w:rsidRPr="00F94BB3">
        <w:rPr>
          <w:rFonts w:asciiTheme="majorHAnsi" w:hAnsiTheme="majorHAnsi" w:cstheme="majorHAnsi"/>
          <w:sz w:val="28"/>
          <w:szCs w:val="28"/>
        </w:rPr>
        <w:br/>
      </w:r>
      <w:r w:rsidRPr="00F94BB3">
        <w:rPr>
          <w:rFonts w:asciiTheme="majorHAnsi" w:hAnsiTheme="majorHAnsi" w:cstheme="majorHAnsi"/>
          <w:sz w:val="28"/>
          <w:szCs w:val="28"/>
        </w:rPr>
        <w:br/>
      </w:r>
      <w:r w:rsidRPr="00F94BB3">
        <w:rPr>
          <w:rFonts w:asciiTheme="majorHAnsi" w:hAnsiTheme="majorHAnsi" w:cstheme="majorHAnsi"/>
          <w:sz w:val="28"/>
          <w:szCs w:val="28"/>
        </w:rPr>
        <w:lastRenderedPageBreak/>
        <w:t>Early Intervention and Prevention – identifying emerging issues such as social isolation or economic pressures early and responding proactively.</w:t>
      </w:r>
      <w:r w:rsidRPr="00F94BB3">
        <w:rPr>
          <w:rFonts w:asciiTheme="majorHAnsi" w:hAnsiTheme="majorHAnsi" w:cstheme="majorHAnsi"/>
          <w:sz w:val="28"/>
          <w:szCs w:val="28"/>
        </w:rPr>
        <w:br/>
      </w:r>
      <w:r w:rsidRPr="00F94BB3">
        <w:rPr>
          <w:rFonts w:asciiTheme="majorHAnsi" w:hAnsiTheme="majorHAnsi" w:cstheme="majorHAnsi"/>
          <w:sz w:val="28"/>
          <w:szCs w:val="28"/>
        </w:rPr>
        <w:br/>
        <w:t>Strong Connections – strengthening relationships, building trust and fostering a sense of belonging within the community.</w:t>
      </w:r>
      <w:r w:rsidRPr="00F94BB3">
        <w:rPr>
          <w:rFonts w:asciiTheme="majorHAnsi" w:hAnsiTheme="majorHAnsi" w:cstheme="majorHAnsi"/>
          <w:sz w:val="28"/>
          <w:szCs w:val="28"/>
        </w:rPr>
        <w:br/>
      </w:r>
      <w:r w:rsidRPr="00F94BB3">
        <w:rPr>
          <w:rFonts w:asciiTheme="majorHAnsi" w:hAnsiTheme="majorHAnsi" w:cstheme="majorHAnsi"/>
          <w:sz w:val="28"/>
          <w:szCs w:val="28"/>
        </w:rPr>
        <w:br/>
        <w:t>Prosperous People and Places – supporting local businesses, increasing footfall and encouraging economic activity through engagement-led initiatives.</w:t>
      </w:r>
    </w:p>
    <w:p w14:paraId="3FD34F6D" w14:textId="77777777" w:rsidR="00340673" w:rsidRPr="00F94BB3" w:rsidRDefault="00941EAB">
      <w:pPr>
        <w:pStyle w:val="Heading1"/>
        <w:rPr>
          <w:rFonts w:cstheme="majorHAnsi"/>
        </w:rPr>
      </w:pPr>
      <w:r w:rsidRPr="00F94BB3">
        <w:rPr>
          <w:rFonts w:cstheme="majorHAnsi"/>
        </w:rPr>
        <w:t>4. Contribution to Wellbeing Goals</w:t>
      </w:r>
    </w:p>
    <w:p w14:paraId="289AE7FC"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 xml:space="preserve">This policy contributes to the seven Wellbeing Goals set out in the Well-being of Future Generations (Wales) Act 2015. Community engagement supports </w:t>
      </w:r>
      <w:proofErr w:type="gramStart"/>
      <w:r w:rsidRPr="00F94BB3">
        <w:rPr>
          <w:rFonts w:asciiTheme="majorHAnsi" w:hAnsiTheme="majorHAnsi" w:cstheme="majorHAnsi"/>
          <w:sz w:val="28"/>
          <w:szCs w:val="28"/>
        </w:rPr>
        <w:t>a Healthier</w:t>
      </w:r>
      <w:proofErr w:type="gramEnd"/>
      <w:r w:rsidRPr="00F94BB3">
        <w:rPr>
          <w:rFonts w:asciiTheme="majorHAnsi" w:hAnsiTheme="majorHAnsi" w:cstheme="majorHAnsi"/>
          <w:sz w:val="28"/>
          <w:szCs w:val="28"/>
        </w:rPr>
        <w:t xml:space="preserve"> Wales by promoting active lifestyles and mental wellbeing. It contributes to a More Equal Wales by ensuring inclusive participation and removing barriers to engagement. It supports </w:t>
      </w:r>
      <w:proofErr w:type="gramStart"/>
      <w:r w:rsidRPr="00F94BB3">
        <w:rPr>
          <w:rFonts w:asciiTheme="majorHAnsi" w:hAnsiTheme="majorHAnsi" w:cstheme="majorHAnsi"/>
          <w:sz w:val="28"/>
          <w:szCs w:val="28"/>
        </w:rPr>
        <w:t>a Resilient</w:t>
      </w:r>
      <w:proofErr w:type="gramEnd"/>
      <w:r w:rsidRPr="00F94BB3">
        <w:rPr>
          <w:rFonts w:asciiTheme="majorHAnsi" w:hAnsiTheme="majorHAnsi" w:cstheme="majorHAnsi"/>
          <w:sz w:val="28"/>
          <w:szCs w:val="28"/>
        </w:rPr>
        <w:t xml:space="preserve"> Wales through environmental awareness and community-led biodiversity initiatives.</w:t>
      </w:r>
      <w:r w:rsidRPr="00F94BB3">
        <w:rPr>
          <w:rFonts w:asciiTheme="majorHAnsi" w:hAnsiTheme="majorHAnsi" w:cstheme="majorHAnsi"/>
          <w:sz w:val="28"/>
          <w:szCs w:val="28"/>
        </w:rPr>
        <w:br/>
      </w:r>
      <w:r w:rsidRPr="00F94BB3">
        <w:rPr>
          <w:rFonts w:asciiTheme="majorHAnsi" w:hAnsiTheme="majorHAnsi" w:cstheme="majorHAnsi"/>
          <w:sz w:val="28"/>
          <w:szCs w:val="28"/>
        </w:rPr>
        <w:br/>
        <w:t xml:space="preserve">Engagement also strengthens Cohesive Communities by building relationships and encouraging participation, supports </w:t>
      </w:r>
      <w:proofErr w:type="gramStart"/>
      <w:r w:rsidRPr="00F94BB3">
        <w:rPr>
          <w:rFonts w:asciiTheme="majorHAnsi" w:hAnsiTheme="majorHAnsi" w:cstheme="majorHAnsi"/>
          <w:sz w:val="28"/>
          <w:szCs w:val="28"/>
        </w:rPr>
        <w:t>a Prosperous</w:t>
      </w:r>
      <w:proofErr w:type="gramEnd"/>
      <w:r w:rsidRPr="00F94BB3">
        <w:rPr>
          <w:rFonts w:asciiTheme="majorHAnsi" w:hAnsiTheme="majorHAnsi" w:cstheme="majorHAnsi"/>
          <w:sz w:val="28"/>
          <w:szCs w:val="28"/>
        </w:rPr>
        <w:t xml:space="preserve"> Wales by contributing to economic activity, promotes a Vibrant Culture and Welsh Language through inclusive cultural engagement, and contributes to a Globally Responsible Wales by encouraging sustainable behaviours.</w:t>
      </w:r>
    </w:p>
    <w:p w14:paraId="59C26ACA" w14:textId="77777777" w:rsidR="00340673" w:rsidRPr="00F94BB3" w:rsidRDefault="00941EAB">
      <w:pPr>
        <w:pStyle w:val="Heading1"/>
        <w:rPr>
          <w:rFonts w:cstheme="majorHAnsi"/>
        </w:rPr>
      </w:pPr>
      <w:r w:rsidRPr="00F94BB3">
        <w:rPr>
          <w:rFonts w:cstheme="majorHAnsi"/>
        </w:rPr>
        <w:t>5. Sustainable Development Principle – Five Ways of Working</w:t>
      </w:r>
    </w:p>
    <w:p w14:paraId="1287A2B9"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 xml:space="preserve">Community engagement enables the Council to deliver the Sustainable Development Principle. It supports long-term planning by ensuring decisions consider future generations. It promotes prevention by identifying issues early. It ensures integration by linking engagement outcomes to wider objectives. It strengthens collaboration through </w:t>
      </w:r>
      <w:r w:rsidRPr="00F94BB3">
        <w:rPr>
          <w:rFonts w:asciiTheme="majorHAnsi" w:hAnsiTheme="majorHAnsi" w:cstheme="majorHAnsi"/>
          <w:sz w:val="28"/>
          <w:szCs w:val="28"/>
        </w:rPr>
        <w:lastRenderedPageBreak/>
        <w:t xml:space="preserve">partnership </w:t>
      </w:r>
      <w:proofErr w:type="gramStart"/>
      <w:r w:rsidRPr="00F94BB3">
        <w:rPr>
          <w:rFonts w:asciiTheme="majorHAnsi" w:hAnsiTheme="majorHAnsi" w:cstheme="majorHAnsi"/>
          <w:sz w:val="28"/>
          <w:szCs w:val="28"/>
        </w:rPr>
        <w:t>working, and</w:t>
      </w:r>
      <w:proofErr w:type="gramEnd"/>
      <w:r w:rsidRPr="00F94BB3">
        <w:rPr>
          <w:rFonts w:asciiTheme="majorHAnsi" w:hAnsiTheme="majorHAnsi" w:cstheme="majorHAnsi"/>
          <w:sz w:val="28"/>
          <w:szCs w:val="28"/>
        </w:rPr>
        <w:t xml:space="preserve"> ensures involvement by giving residents a voice in decision-making.</w:t>
      </w:r>
    </w:p>
    <w:p w14:paraId="787A56CA" w14:textId="4C3D8DAC" w:rsidR="00340673" w:rsidRPr="00F94BB3" w:rsidRDefault="00941EAB">
      <w:pPr>
        <w:pStyle w:val="Heading1"/>
        <w:rPr>
          <w:rFonts w:cstheme="majorHAnsi"/>
        </w:rPr>
      </w:pPr>
      <w:r w:rsidRPr="00F94BB3">
        <w:rPr>
          <w:rFonts w:cstheme="majorHAnsi"/>
        </w:rPr>
        <w:t xml:space="preserve">6. PSB and Wellbeing Alignment </w:t>
      </w:r>
    </w:p>
    <w:tbl>
      <w:tblPr>
        <w:tblW w:w="0" w:type="auto"/>
        <w:tblLook w:val="04A0" w:firstRow="1" w:lastRow="0" w:firstColumn="1" w:lastColumn="0" w:noHBand="0" w:noVBand="1"/>
      </w:tblPr>
      <w:tblGrid>
        <w:gridCol w:w="2880"/>
        <w:gridCol w:w="2880"/>
        <w:gridCol w:w="2880"/>
      </w:tblGrid>
      <w:tr w:rsidR="00340673" w:rsidRPr="00F94BB3" w14:paraId="4353B6CB" w14:textId="77777777">
        <w:tc>
          <w:tcPr>
            <w:tcW w:w="2880" w:type="dxa"/>
          </w:tcPr>
          <w:p w14:paraId="08607D72"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Engagement Activity</w:t>
            </w:r>
          </w:p>
        </w:tc>
        <w:tc>
          <w:tcPr>
            <w:tcW w:w="2880" w:type="dxa"/>
          </w:tcPr>
          <w:p w14:paraId="78B92DD7"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PSB Objective</w:t>
            </w:r>
          </w:p>
        </w:tc>
        <w:tc>
          <w:tcPr>
            <w:tcW w:w="2880" w:type="dxa"/>
          </w:tcPr>
          <w:p w14:paraId="7320907B"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Wellbeing Goal</w:t>
            </w:r>
          </w:p>
        </w:tc>
      </w:tr>
      <w:tr w:rsidR="00340673" w:rsidRPr="00F94BB3" w14:paraId="16D7AF1E" w14:textId="77777777">
        <w:tc>
          <w:tcPr>
            <w:tcW w:w="2880" w:type="dxa"/>
          </w:tcPr>
          <w:p w14:paraId="7D986A2D"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Community Events</w:t>
            </w:r>
          </w:p>
        </w:tc>
        <w:tc>
          <w:tcPr>
            <w:tcW w:w="2880" w:type="dxa"/>
          </w:tcPr>
          <w:p w14:paraId="5B2E37C8"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Strong Connections</w:t>
            </w:r>
          </w:p>
        </w:tc>
        <w:tc>
          <w:tcPr>
            <w:tcW w:w="2880" w:type="dxa"/>
          </w:tcPr>
          <w:p w14:paraId="171EE22E"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Cohesive Communities</w:t>
            </w:r>
          </w:p>
        </w:tc>
      </w:tr>
      <w:tr w:rsidR="00340673" w:rsidRPr="00F94BB3" w14:paraId="5D5B99C1" w14:textId="77777777">
        <w:tc>
          <w:tcPr>
            <w:tcW w:w="2880" w:type="dxa"/>
          </w:tcPr>
          <w:p w14:paraId="6B65D269"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Sports Programmes</w:t>
            </w:r>
          </w:p>
        </w:tc>
        <w:tc>
          <w:tcPr>
            <w:tcW w:w="2880" w:type="dxa"/>
          </w:tcPr>
          <w:p w14:paraId="3C45EF0B"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Healthy Habits</w:t>
            </w:r>
          </w:p>
        </w:tc>
        <w:tc>
          <w:tcPr>
            <w:tcW w:w="2880" w:type="dxa"/>
          </w:tcPr>
          <w:p w14:paraId="61F05E39"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Healthier Wales</w:t>
            </w:r>
          </w:p>
        </w:tc>
      </w:tr>
      <w:tr w:rsidR="00340673" w:rsidRPr="00F94BB3" w14:paraId="25D986E7" w14:textId="77777777">
        <w:tc>
          <w:tcPr>
            <w:tcW w:w="2880" w:type="dxa"/>
          </w:tcPr>
          <w:p w14:paraId="1E267448"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Biodiversity Projects</w:t>
            </w:r>
          </w:p>
        </w:tc>
        <w:tc>
          <w:tcPr>
            <w:tcW w:w="2880" w:type="dxa"/>
          </w:tcPr>
          <w:p w14:paraId="4447A89A"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Prevention</w:t>
            </w:r>
          </w:p>
        </w:tc>
        <w:tc>
          <w:tcPr>
            <w:tcW w:w="2880" w:type="dxa"/>
          </w:tcPr>
          <w:p w14:paraId="0C1BE980"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Resilient Wales</w:t>
            </w:r>
          </w:p>
        </w:tc>
      </w:tr>
      <w:tr w:rsidR="00340673" w:rsidRPr="00F94BB3" w14:paraId="51D93F6E" w14:textId="77777777">
        <w:tc>
          <w:tcPr>
            <w:tcW w:w="2880" w:type="dxa"/>
          </w:tcPr>
          <w:p w14:paraId="251916A0"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Business Engagement</w:t>
            </w:r>
          </w:p>
        </w:tc>
        <w:tc>
          <w:tcPr>
            <w:tcW w:w="2880" w:type="dxa"/>
          </w:tcPr>
          <w:p w14:paraId="4E85AF46"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Prosperous Places</w:t>
            </w:r>
          </w:p>
        </w:tc>
        <w:tc>
          <w:tcPr>
            <w:tcW w:w="2880" w:type="dxa"/>
          </w:tcPr>
          <w:p w14:paraId="79A1DE47"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Prosperous Wales</w:t>
            </w:r>
          </w:p>
        </w:tc>
      </w:tr>
      <w:tr w:rsidR="00340673" w:rsidRPr="00F94BB3" w14:paraId="66E15255" w14:textId="77777777">
        <w:tc>
          <w:tcPr>
            <w:tcW w:w="2880" w:type="dxa"/>
          </w:tcPr>
          <w:p w14:paraId="16633FB2"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Inclusive Engagement</w:t>
            </w:r>
          </w:p>
        </w:tc>
        <w:tc>
          <w:tcPr>
            <w:tcW w:w="2880" w:type="dxa"/>
          </w:tcPr>
          <w:p w14:paraId="788F563E"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Early Intervention</w:t>
            </w:r>
          </w:p>
        </w:tc>
        <w:tc>
          <w:tcPr>
            <w:tcW w:w="2880" w:type="dxa"/>
          </w:tcPr>
          <w:p w14:paraId="2DEC8CC6"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More Equal Wales</w:t>
            </w:r>
          </w:p>
        </w:tc>
      </w:tr>
    </w:tbl>
    <w:p w14:paraId="6D206EE0" w14:textId="77777777" w:rsidR="00340673" w:rsidRPr="00F94BB3" w:rsidRDefault="00941EAB">
      <w:pPr>
        <w:pStyle w:val="Heading1"/>
        <w:rPr>
          <w:rFonts w:cstheme="majorHAnsi"/>
        </w:rPr>
      </w:pPr>
      <w:r w:rsidRPr="00F94BB3">
        <w:rPr>
          <w:rFonts w:cstheme="majorHAnsi"/>
        </w:rPr>
        <w:t>7. Delivery Approach</w:t>
      </w:r>
    </w:p>
    <w:p w14:paraId="104A8C14"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 xml:space="preserve">The Council will deliver community engagement through a combination of methods including public consultations, events, workshops, digital engagement and partnership working. Engagement will be proportionate, inclusive and accessible, ensuring all members of the community </w:t>
      </w:r>
      <w:proofErr w:type="gramStart"/>
      <w:r w:rsidRPr="00F94BB3">
        <w:rPr>
          <w:rFonts w:asciiTheme="majorHAnsi" w:hAnsiTheme="majorHAnsi" w:cstheme="majorHAnsi"/>
          <w:sz w:val="28"/>
          <w:szCs w:val="28"/>
        </w:rPr>
        <w:t>have the opportunity to</w:t>
      </w:r>
      <w:proofErr w:type="gramEnd"/>
      <w:r w:rsidRPr="00F94BB3">
        <w:rPr>
          <w:rFonts w:asciiTheme="majorHAnsi" w:hAnsiTheme="majorHAnsi" w:cstheme="majorHAnsi"/>
          <w:sz w:val="28"/>
          <w:szCs w:val="28"/>
        </w:rPr>
        <w:t xml:space="preserve"> participate.</w:t>
      </w:r>
      <w:r w:rsidRPr="00F94BB3">
        <w:rPr>
          <w:rFonts w:asciiTheme="majorHAnsi" w:hAnsiTheme="majorHAnsi" w:cstheme="majorHAnsi"/>
          <w:sz w:val="28"/>
          <w:szCs w:val="28"/>
        </w:rPr>
        <w:br/>
      </w:r>
      <w:r w:rsidRPr="00F94BB3">
        <w:rPr>
          <w:rFonts w:asciiTheme="majorHAnsi" w:hAnsiTheme="majorHAnsi" w:cstheme="majorHAnsi"/>
          <w:sz w:val="28"/>
          <w:szCs w:val="28"/>
        </w:rPr>
        <w:br/>
        <w:t>The Council will also ensure feedback is recorded, analysed and used to inform decision-making, demonstrating transparency and accountability.</w:t>
      </w:r>
    </w:p>
    <w:p w14:paraId="16EC82C1" w14:textId="77777777" w:rsidR="00340673" w:rsidRPr="00F94BB3" w:rsidRDefault="00941EAB">
      <w:pPr>
        <w:pStyle w:val="Heading1"/>
        <w:rPr>
          <w:rFonts w:cstheme="majorHAnsi"/>
        </w:rPr>
      </w:pPr>
      <w:r w:rsidRPr="00F94BB3">
        <w:rPr>
          <w:rFonts w:cstheme="majorHAnsi"/>
        </w:rPr>
        <w:t>8. Monitoring and KPIs</w:t>
      </w:r>
    </w:p>
    <w:p w14:paraId="0A60F564" w14:textId="77777777" w:rsidR="00340673" w:rsidRPr="00F94BB3" w:rsidRDefault="00941EAB">
      <w:pPr>
        <w:rPr>
          <w:rFonts w:asciiTheme="majorHAnsi" w:hAnsiTheme="majorHAnsi" w:cstheme="majorHAnsi"/>
          <w:sz w:val="28"/>
          <w:szCs w:val="28"/>
        </w:rPr>
      </w:pPr>
      <w:r w:rsidRPr="00F94BB3">
        <w:rPr>
          <w:rFonts w:asciiTheme="majorHAnsi" w:hAnsiTheme="majorHAnsi" w:cstheme="majorHAnsi"/>
          <w:sz w:val="28"/>
          <w:szCs w:val="28"/>
        </w:rPr>
        <w:t>Performance will be monitored through measurable indicators including increased participation levels, engagement reach, response times and event delivery. These indicators will ensure that engagement remains effective and continuously improves over time.</w:t>
      </w:r>
      <w:r w:rsidRPr="00F94BB3">
        <w:rPr>
          <w:rFonts w:asciiTheme="majorHAnsi" w:hAnsiTheme="majorHAnsi" w:cstheme="majorHAnsi"/>
          <w:sz w:val="28"/>
          <w:szCs w:val="28"/>
        </w:rPr>
        <w:br/>
      </w:r>
      <w:r w:rsidRPr="00F94BB3">
        <w:rPr>
          <w:rFonts w:asciiTheme="majorHAnsi" w:hAnsiTheme="majorHAnsi" w:cstheme="majorHAnsi"/>
          <w:sz w:val="28"/>
          <w:szCs w:val="28"/>
        </w:rPr>
        <w:br/>
        <w:t>Regular reporting will be provided to Council to ensure oversight and accountability.</w:t>
      </w:r>
    </w:p>
    <w:sectPr w:rsidR="00340673" w:rsidRPr="00F94BB3" w:rsidSect="00F94BB3">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9CCFA" w14:textId="77777777" w:rsidR="0020593D" w:rsidRDefault="0020593D" w:rsidP="00F94BB3">
      <w:pPr>
        <w:spacing w:after="0" w:line="240" w:lineRule="auto"/>
      </w:pPr>
      <w:r>
        <w:separator/>
      </w:r>
    </w:p>
  </w:endnote>
  <w:endnote w:type="continuationSeparator" w:id="0">
    <w:p w14:paraId="30C2EA0D" w14:textId="77777777" w:rsidR="0020593D" w:rsidRDefault="0020593D" w:rsidP="00F94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400F" w14:textId="77777777" w:rsidR="00AB5ED7" w:rsidRDefault="00AB5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715819"/>
      <w:docPartObj>
        <w:docPartGallery w:val="Page Numbers (Bottom of Page)"/>
        <w:docPartUnique/>
      </w:docPartObj>
    </w:sdtPr>
    <w:sdtEndPr/>
    <w:sdtContent>
      <w:p w14:paraId="43BA8107" w14:textId="7A4DF567" w:rsidR="00F94BB3" w:rsidRDefault="00F94BB3">
        <w:pPr>
          <w:pStyle w:val="Footer"/>
          <w:jc w:val="center"/>
        </w:pPr>
        <w:r>
          <w:fldChar w:fldCharType="begin"/>
        </w:r>
        <w:r>
          <w:instrText>PAGE   \* MERGEFORMAT</w:instrText>
        </w:r>
        <w:r>
          <w:fldChar w:fldCharType="separate"/>
        </w:r>
        <w:r>
          <w:rPr>
            <w:lang w:val="en-GB"/>
          </w:rPr>
          <w:t>2</w:t>
        </w:r>
        <w:r>
          <w:fldChar w:fldCharType="end"/>
        </w:r>
      </w:p>
    </w:sdtContent>
  </w:sdt>
  <w:p w14:paraId="075D7EA0" w14:textId="77777777" w:rsidR="00F94BB3" w:rsidRDefault="00F94B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8F690" w14:textId="77777777" w:rsidR="00AB5ED7" w:rsidRDefault="00AB5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17FB" w14:textId="77777777" w:rsidR="0020593D" w:rsidRDefault="0020593D" w:rsidP="00F94BB3">
      <w:pPr>
        <w:spacing w:after="0" w:line="240" w:lineRule="auto"/>
      </w:pPr>
      <w:r>
        <w:separator/>
      </w:r>
    </w:p>
  </w:footnote>
  <w:footnote w:type="continuationSeparator" w:id="0">
    <w:p w14:paraId="4F3751A1" w14:textId="77777777" w:rsidR="0020593D" w:rsidRDefault="0020593D" w:rsidP="00F94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75F32" w14:textId="5A63351B" w:rsidR="00AB5ED7" w:rsidRDefault="00AB5ED7">
    <w:pPr>
      <w:pStyle w:val="Header"/>
    </w:pPr>
    <w:r>
      <w:rPr>
        <w:noProof/>
      </w:rPr>
      <w:pict w14:anchorId="50D019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0458111" o:spid="_x0000_s1026" type="#_x0000_t136" style="position:absolute;margin-left:0;margin-top:0;width:435.05pt;height:174pt;rotation:315;z-index:-251655168;mso-position-horizontal:center;mso-position-horizontal-relative:margin;mso-position-vertical:center;mso-position-vertical-relative:margin" o:allowincell="f" fillcolor="silver" stroked="f">
          <v:fill opacity=".5"/>
          <v:textpath style="font-family:&quot;Cambria&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F7FA" w14:textId="0642ED42" w:rsidR="00AB5ED7" w:rsidRDefault="00AB5ED7">
    <w:pPr>
      <w:pStyle w:val="Header"/>
    </w:pPr>
    <w:r>
      <w:rPr>
        <w:noProof/>
      </w:rPr>
      <w:pict w14:anchorId="53C9F8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0458112" o:spid="_x0000_s1027" type="#_x0000_t136" style="position:absolute;margin-left:0;margin-top:0;width:435.05pt;height:174pt;rotation:315;z-index:-251653120;mso-position-horizontal:center;mso-position-horizontal-relative:margin;mso-position-vertical:center;mso-position-vertical-relative:margin" o:allowincell="f" fillcolor="silver" stroked="f">
          <v:fill opacity=".5"/>
          <v:textpath style="font-family:&quot;Cambria&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43430" w14:textId="0AA6E391" w:rsidR="00AB5ED7" w:rsidRDefault="00AB5ED7">
    <w:pPr>
      <w:pStyle w:val="Header"/>
    </w:pPr>
    <w:r>
      <w:rPr>
        <w:noProof/>
      </w:rPr>
      <w:pict w14:anchorId="603920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0458110" o:spid="_x0000_s1025" type="#_x0000_t136" style="position:absolute;margin-left:0;margin-top:0;width:435.05pt;height:174pt;rotation:315;z-index:-251657216;mso-position-horizontal:center;mso-position-horizontal-relative:margin;mso-position-vertical:center;mso-position-vertical-relative:margin" o:allowincell="f" fillcolor="silver" stroked="f">
          <v:fill opacity=".5"/>
          <v:textpath style="font-family:&quot;Cambria&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0352213">
    <w:abstractNumId w:val="8"/>
  </w:num>
  <w:num w:numId="2" w16cid:durableId="2108429309">
    <w:abstractNumId w:val="6"/>
  </w:num>
  <w:num w:numId="3" w16cid:durableId="1378773524">
    <w:abstractNumId w:val="5"/>
  </w:num>
  <w:num w:numId="4" w16cid:durableId="2141682835">
    <w:abstractNumId w:val="4"/>
  </w:num>
  <w:num w:numId="5" w16cid:durableId="1708069661">
    <w:abstractNumId w:val="7"/>
  </w:num>
  <w:num w:numId="6" w16cid:durableId="903637703">
    <w:abstractNumId w:val="3"/>
  </w:num>
  <w:num w:numId="7" w16cid:durableId="1759907679">
    <w:abstractNumId w:val="2"/>
  </w:num>
  <w:num w:numId="8" w16cid:durableId="1048799153">
    <w:abstractNumId w:val="1"/>
  </w:num>
  <w:num w:numId="9" w16cid:durableId="1666472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593D"/>
    <w:rsid w:val="0029639D"/>
    <w:rsid w:val="00326F90"/>
    <w:rsid w:val="00340673"/>
    <w:rsid w:val="00941EAB"/>
    <w:rsid w:val="00AA1D8D"/>
    <w:rsid w:val="00AB5ED7"/>
    <w:rsid w:val="00B47730"/>
    <w:rsid w:val="00CB0664"/>
    <w:rsid w:val="00F94BB3"/>
    <w:rsid w:val="00FC1BE5"/>
    <w:rsid w:val="00FC693F"/>
    <w:rsid w:val="00FE70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69D1DF"/>
  <w14:defaultImageDpi w14:val="300"/>
  <w15:docId w15:val="{9716A72D-FB3C-49D4-A37C-7B7BE93B9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CB914.FE0929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DEDE0-F793-49A8-B925-54923B513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B0572EBA-89E7-4825-A863-D92D46ECA865}">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customXml/itemProps4.xml><?xml version="1.0" encoding="utf-8"?>
<ds:datastoreItem xmlns:ds="http://schemas.openxmlformats.org/officeDocument/2006/customXml" ds:itemID="{B9023FDC-F71C-466F-B948-72836E188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Deputy Clerk</cp:lastModifiedBy>
  <cp:revision>2</cp:revision>
  <dcterms:created xsi:type="dcterms:W3CDTF">2026-05-11T10:22:00Z</dcterms:created>
  <dcterms:modified xsi:type="dcterms:W3CDTF">2026-05-11T10:22:00Z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